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04735" w14:textId="754DD2F4" w:rsidR="006525BD" w:rsidRPr="007B378C" w:rsidRDefault="006525BD" w:rsidP="006525BD">
      <w:pPr>
        <w:tabs>
          <w:tab w:val="center" w:pos="4536"/>
          <w:tab w:val="right" w:pos="7938"/>
          <w:tab w:val="right" w:pos="9639"/>
        </w:tabs>
        <w:ind w:right="2"/>
        <w:rPr>
          <w:b/>
          <w:bCs/>
          <w:sz w:val="28"/>
        </w:rPr>
      </w:pPr>
      <w:r w:rsidRPr="005A0AA2">
        <w:rPr>
          <w:b/>
          <w:bCs/>
          <w:sz w:val="28"/>
        </w:rPr>
        <w:t>3GPP TSG RAN WG1 #113</w:t>
      </w:r>
      <w:r w:rsidRPr="005A0AA2">
        <w:rPr>
          <w:b/>
          <w:bCs/>
          <w:sz w:val="28"/>
        </w:rPr>
        <w:tab/>
      </w:r>
      <w:r w:rsidRPr="005A0AA2">
        <w:rPr>
          <w:b/>
          <w:bCs/>
          <w:sz w:val="28"/>
        </w:rPr>
        <w:tab/>
      </w:r>
      <w:r w:rsidRPr="005A0AA2">
        <w:rPr>
          <w:b/>
          <w:bCs/>
          <w:sz w:val="28"/>
        </w:rPr>
        <w:tab/>
        <w:t>R1-230</w:t>
      </w:r>
      <w:r w:rsidR="005A0AA2" w:rsidRPr="005A0AA2">
        <w:rPr>
          <w:b/>
          <w:bCs/>
          <w:sz w:val="28"/>
        </w:rPr>
        <w:t>5278</w:t>
      </w:r>
    </w:p>
    <w:p w14:paraId="46D89EA2" w14:textId="77777777" w:rsidR="006525BD" w:rsidRPr="007B378C" w:rsidRDefault="006525BD" w:rsidP="006525BD">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4CF3C864"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Agenda item:</w:t>
      </w:r>
      <w:r w:rsidRPr="006525BD">
        <w:rPr>
          <w:rFonts w:ascii="Times New Roman" w:eastAsia="Malgun Gothic" w:hAnsi="Times New Roman"/>
          <w:szCs w:val="24"/>
          <w:lang w:eastAsia="zh-CN"/>
        </w:rPr>
        <w:tab/>
      </w:r>
      <w:bookmarkStart w:id="0" w:name="Source"/>
      <w:bookmarkEnd w:id="0"/>
      <w:r w:rsidR="0047712A" w:rsidRPr="006525BD">
        <w:rPr>
          <w:rFonts w:ascii="Times New Roman" w:eastAsia="Malgun Gothic" w:hAnsi="Times New Roman"/>
          <w:szCs w:val="24"/>
          <w:lang w:eastAsia="zh-CN"/>
        </w:rPr>
        <w:t>9.16.</w:t>
      </w:r>
      <w:r w:rsidR="00BB1D8E">
        <w:rPr>
          <w:rFonts w:ascii="Times New Roman" w:eastAsia="Malgun Gothic" w:hAnsi="Times New Roman"/>
          <w:szCs w:val="24"/>
          <w:lang w:eastAsia="zh-CN"/>
        </w:rPr>
        <w:t>5</w:t>
      </w:r>
    </w:p>
    <w:p w14:paraId="4FBD3315" w14:textId="77777777"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Source:</w:t>
      </w:r>
      <w:r w:rsidRPr="006525BD">
        <w:rPr>
          <w:rFonts w:ascii="Times New Roman" w:eastAsia="Malgun Gothic" w:hAnsi="Times New Roman"/>
          <w:szCs w:val="24"/>
          <w:lang w:eastAsia="zh-CN"/>
        </w:rPr>
        <w:tab/>
        <w:t>Apple Inc.</w:t>
      </w:r>
    </w:p>
    <w:p w14:paraId="285D7CE1" w14:textId="5D1E5321"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Title:</w:t>
      </w:r>
      <w:r w:rsidRPr="006525BD">
        <w:rPr>
          <w:rFonts w:ascii="Times New Roman" w:eastAsia="Malgun Gothic" w:hAnsi="Times New Roman"/>
          <w:szCs w:val="24"/>
          <w:lang w:eastAsia="zh-CN"/>
        </w:rPr>
        <w:tab/>
      </w:r>
      <w:r w:rsidR="0047712A" w:rsidRPr="006525BD">
        <w:rPr>
          <w:rFonts w:ascii="Times New Roman" w:eastAsia="Malgun Gothic" w:hAnsi="Times New Roman"/>
          <w:szCs w:val="24"/>
          <w:lang w:eastAsia="zh-CN"/>
        </w:rPr>
        <w:t xml:space="preserve">On UE </w:t>
      </w:r>
      <w:r w:rsidR="00BB1D8E">
        <w:rPr>
          <w:rFonts w:ascii="Times New Roman" w:eastAsia="Malgun Gothic" w:hAnsi="Times New Roman"/>
          <w:szCs w:val="24"/>
          <w:lang w:eastAsia="zh-CN"/>
        </w:rPr>
        <w:t>F</w:t>
      </w:r>
      <w:r w:rsidR="0047712A" w:rsidRPr="006525BD">
        <w:rPr>
          <w:rFonts w:ascii="Times New Roman" w:eastAsia="Malgun Gothic" w:hAnsi="Times New Roman"/>
          <w:szCs w:val="24"/>
          <w:lang w:eastAsia="zh-CN"/>
        </w:rPr>
        <w:t xml:space="preserve">eatures for Rel-18 </w:t>
      </w:r>
      <w:r w:rsidR="00BB1D8E">
        <w:rPr>
          <w:rFonts w:ascii="Times New Roman" w:eastAsia="Malgun Gothic" w:hAnsi="Times New Roman"/>
          <w:szCs w:val="24"/>
          <w:lang w:eastAsia="zh-CN"/>
        </w:rPr>
        <w:t>NR</w:t>
      </w:r>
      <w:r w:rsidR="0047712A" w:rsidRPr="006525BD">
        <w:rPr>
          <w:rFonts w:ascii="Times New Roman" w:eastAsia="Malgun Gothic" w:hAnsi="Times New Roman"/>
          <w:szCs w:val="24"/>
          <w:lang w:eastAsia="zh-CN"/>
        </w:rPr>
        <w:t xml:space="preserve"> NTN Enhancement</w:t>
      </w:r>
      <w:r w:rsidR="00BB1D8E">
        <w:rPr>
          <w:rFonts w:ascii="Times New Roman" w:eastAsia="Malgun Gothic" w:hAnsi="Times New Roman"/>
          <w:szCs w:val="24"/>
          <w:lang w:eastAsia="zh-CN"/>
        </w:rPr>
        <w:t>s</w:t>
      </w:r>
    </w:p>
    <w:p w14:paraId="258C8BD2" w14:textId="3D62BE8D" w:rsidR="0025389B" w:rsidRPr="006525BD" w:rsidRDefault="0025389B" w:rsidP="006525BD">
      <w:pPr>
        <w:pStyle w:val="3GPPHeader"/>
        <w:spacing w:line="240" w:lineRule="auto"/>
        <w:rPr>
          <w:rFonts w:ascii="Times New Roman" w:eastAsia="Malgun Gothic" w:hAnsi="Times New Roman"/>
          <w:szCs w:val="24"/>
          <w:lang w:eastAsia="zh-CN"/>
        </w:rPr>
      </w:pPr>
      <w:r w:rsidRPr="006525BD">
        <w:rPr>
          <w:rFonts w:ascii="Times New Roman" w:eastAsia="Malgun Gothic" w:hAnsi="Times New Roman"/>
          <w:szCs w:val="24"/>
          <w:lang w:eastAsia="zh-CN"/>
        </w:rPr>
        <w:t>Document for:</w:t>
      </w:r>
      <w:r w:rsidRPr="006525BD">
        <w:rPr>
          <w:rFonts w:ascii="Times New Roman" w:eastAsia="Malgun Gothic" w:hAnsi="Times New Roman"/>
          <w:szCs w:val="24"/>
          <w:lang w:eastAsia="zh-CN"/>
        </w:rPr>
        <w:tab/>
      </w:r>
      <w:bookmarkStart w:id="1" w:name="DocumentFor"/>
      <w:bookmarkEnd w:id="1"/>
      <w:r w:rsidR="000A2201" w:rsidRPr="006525BD">
        <w:rPr>
          <w:rFonts w:ascii="Times New Roman" w:eastAsia="Malgun Gothic" w:hAnsi="Times New Roman"/>
          <w:szCs w:val="24"/>
          <w:lang w:eastAsia="zh-CN"/>
        </w:rPr>
        <w:t>Discussion</w:t>
      </w:r>
      <w:r w:rsidR="00E22557" w:rsidRPr="006525BD">
        <w:rPr>
          <w:rFonts w:ascii="Times New Roman" w:eastAsia="Malgun Gothic" w:hAnsi="Times New Roman"/>
          <w:szCs w:val="24"/>
          <w:lang w:eastAsia="zh-CN"/>
        </w:rPr>
        <w:t>/</w:t>
      </w:r>
      <w:r w:rsidRPr="006525BD">
        <w:rPr>
          <w:rFonts w:ascii="Times New Roman" w:eastAsia="Malgun Gothic" w:hAnsi="Times New Roman"/>
          <w:szCs w:val="24"/>
          <w:lang w:eastAsia="zh-CN"/>
        </w:rPr>
        <w:t>Decision</w:t>
      </w:r>
    </w:p>
    <w:p w14:paraId="546CFCCA" w14:textId="77777777" w:rsidR="0025389B" w:rsidRPr="00D81859" w:rsidRDefault="0025389B" w:rsidP="006525BD">
      <w:pPr>
        <w:pStyle w:val="Heading1"/>
        <w:spacing w:before="120" w:after="120"/>
        <w:rPr>
          <w:szCs w:val="36"/>
        </w:rPr>
      </w:pPr>
      <w:r w:rsidRPr="00D81859">
        <w:rPr>
          <w:szCs w:val="36"/>
        </w:rPr>
        <w:t>Introduction</w:t>
      </w:r>
    </w:p>
    <w:p w14:paraId="021C3C48" w14:textId="63105C95" w:rsidR="0047712A" w:rsidRDefault="0047712A" w:rsidP="000F70F9">
      <w:pPr>
        <w:jc w:val="both"/>
        <w:rPr>
          <w:rFonts w:eastAsia="Malgun Gothic"/>
        </w:rPr>
      </w:pPr>
      <w:r w:rsidRPr="006525BD">
        <w:rPr>
          <w:rFonts w:eastAsia="Malgun Gothic"/>
        </w:rPr>
        <w:t xml:space="preserve">The Release-18 </w:t>
      </w:r>
      <w:r w:rsidR="00BB1D8E">
        <w:rPr>
          <w:rFonts w:eastAsia="Malgun Gothic"/>
        </w:rPr>
        <w:t>NR</w:t>
      </w:r>
      <w:r w:rsidRPr="006525BD">
        <w:rPr>
          <w:rFonts w:eastAsia="Malgun Gothic"/>
        </w:rPr>
        <w:t xml:space="preserve"> NTN enhancement work item was approved in RAN #94e meeting </w:t>
      </w:r>
      <w:r w:rsidRPr="006525BD">
        <w:rPr>
          <w:rFonts w:eastAsia="Malgun Gothic"/>
        </w:rPr>
        <w:fldChar w:fldCharType="begin"/>
      </w:r>
      <w:r w:rsidRPr="006525BD">
        <w:rPr>
          <w:rFonts w:eastAsia="Malgun Gothic"/>
        </w:rPr>
        <w:instrText xml:space="preserve"> REF _Ref99716514 \r \h </w:instrText>
      </w:r>
      <w:r w:rsidR="006525BD">
        <w:rPr>
          <w:rFonts w:eastAsia="Malgun Gothic"/>
        </w:rPr>
        <w:instrText xml:space="preserve"> \* MERGEFORMAT </w:instrText>
      </w:r>
      <w:r w:rsidRPr="006525BD">
        <w:rPr>
          <w:rFonts w:eastAsia="Malgun Gothic"/>
        </w:rPr>
      </w:r>
      <w:r w:rsidRPr="006525BD">
        <w:rPr>
          <w:rFonts w:eastAsia="Malgun Gothic"/>
        </w:rPr>
        <w:fldChar w:fldCharType="separate"/>
      </w:r>
      <w:r w:rsidRPr="006525BD">
        <w:rPr>
          <w:rFonts w:eastAsia="Malgun Gothic"/>
        </w:rPr>
        <w:t>[1]</w:t>
      </w:r>
      <w:r w:rsidRPr="006525BD">
        <w:rPr>
          <w:rFonts w:eastAsia="Malgun Gothic"/>
        </w:rPr>
        <w:fldChar w:fldCharType="end"/>
      </w:r>
      <w:r w:rsidRPr="006525BD">
        <w:rPr>
          <w:rFonts w:eastAsia="Malgun Gothic"/>
        </w:rPr>
        <w:t xml:space="preserve"> and updated in RAN #96e meeting </w:t>
      </w:r>
      <w:r w:rsidRPr="006525BD">
        <w:rPr>
          <w:rFonts w:eastAsia="Malgun Gothic"/>
        </w:rPr>
        <w:fldChar w:fldCharType="begin"/>
      </w:r>
      <w:r w:rsidRPr="006525BD">
        <w:rPr>
          <w:rFonts w:eastAsia="Malgun Gothic"/>
        </w:rPr>
        <w:instrText xml:space="preserve"> REF _Ref100217924 \r \h </w:instrText>
      </w:r>
      <w:r w:rsidRPr="006525BD">
        <w:rPr>
          <w:rFonts w:eastAsia="Malgun Gothic"/>
        </w:rPr>
      </w:r>
      <w:r w:rsidRPr="006525BD">
        <w:rPr>
          <w:rFonts w:eastAsia="Malgun Gothic"/>
        </w:rPr>
        <w:fldChar w:fldCharType="separate"/>
      </w:r>
      <w:r w:rsidRPr="006525BD">
        <w:rPr>
          <w:rFonts w:eastAsia="Malgun Gothic"/>
        </w:rPr>
        <w:t>[2]</w:t>
      </w:r>
      <w:r w:rsidRPr="006525BD">
        <w:rPr>
          <w:rFonts w:eastAsia="Malgun Gothic"/>
        </w:rPr>
        <w:fldChar w:fldCharType="end"/>
      </w:r>
      <w:r w:rsidRPr="006525BD">
        <w:rPr>
          <w:rFonts w:eastAsia="Malgun Gothic"/>
        </w:rPr>
        <w:t xml:space="preserve">. </w:t>
      </w:r>
      <w:r w:rsidR="00183868" w:rsidRPr="006525BD">
        <w:rPr>
          <w:rFonts w:eastAsia="Malgun Gothic"/>
        </w:rPr>
        <w:t>RAN1-related</w:t>
      </w:r>
      <w:r w:rsidRPr="006525BD">
        <w:rPr>
          <w:rFonts w:eastAsia="Malgun Gothic"/>
        </w:rPr>
        <w:t xml:space="preserve"> objectives are </w:t>
      </w:r>
      <w:r w:rsidR="00183868" w:rsidRPr="006525BD">
        <w:rPr>
          <w:rFonts w:eastAsia="Malgun Gothic"/>
        </w:rPr>
        <w:t>shown</w:t>
      </w:r>
      <w:r w:rsidRPr="006525BD">
        <w:rPr>
          <w:rFonts w:eastAsia="Malgun Gothic"/>
        </w:rPr>
        <w:t xml:space="preserve"> below.</w:t>
      </w:r>
    </w:p>
    <w:p w14:paraId="60C37390" w14:textId="77777777" w:rsidR="009E0CDE" w:rsidRDefault="009E0CDE" w:rsidP="000F70F9">
      <w:pPr>
        <w:jc w:val="both"/>
        <w:rPr>
          <w:rFonts w:eastAsia="Malgun Gothic"/>
        </w:rPr>
      </w:pPr>
    </w:p>
    <w:p w14:paraId="3FDBD456" w14:textId="60049285" w:rsidR="009E0CDE" w:rsidRPr="00EC2201" w:rsidRDefault="009E0CDE" w:rsidP="00086034">
      <w:pPr>
        <w:jc w:val="both"/>
        <w:rPr>
          <w:rFonts w:eastAsia="Malgun Gothic"/>
          <w:i/>
          <w:iCs/>
        </w:rPr>
      </w:pPr>
      <w:r w:rsidRPr="00EC2201">
        <w:rPr>
          <w:bCs/>
          <w:i/>
          <w:iCs/>
        </w:rPr>
        <w:t>Coverage enhancement</w:t>
      </w:r>
      <w:r>
        <w:rPr>
          <w:bCs/>
          <w:i/>
          <w:iCs/>
        </w:rPr>
        <w:t>:</w:t>
      </w:r>
    </w:p>
    <w:p w14:paraId="6F6DBA7C" w14:textId="77777777"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To specify PUCCH enhancements for Msg4 HARQ-ACK (</w:t>
      </w:r>
      <w:proofErr w:type="gramStart"/>
      <w:r w:rsidRPr="00EC2201">
        <w:rPr>
          <w:bCs/>
          <w:i/>
          <w:iCs/>
        </w:rPr>
        <w:t>e.g.</w:t>
      </w:r>
      <w:proofErr w:type="gramEnd"/>
      <w:r w:rsidRPr="00EC2201">
        <w:rPr>
          <w:bCs/>
          <w:i/>
          <w:iCs/>
        </w:rPr>
        <w:t xml:space="preserve"> repetition) [RAN1, RAN4]</w:t>
      </w:r>
    </w:p>
    <w:p w14:paraId="5F981FAE" w14:textId="2FCD5820" w:rsidR="009E0CDE" w:rsidRPr="00EC2201" w:rsidRDefault="009E0CDE" w:rsidP="00086034">
      <w:pPr>
        <w:numPr>
          <w:ilvl w:val="0"/>
          <w:numId w:val="54"/>
        </w:numPr>
        <w:overflowPunct w:val="0"/>
        <w:autoSpaceDE w:val="0"/>
        <w:autoSpaceDN w:val="0"/>
        <w:adjustRightInd w:val="0"/>
        <w:jc w:val="both"/>
        <w:textAlignment w:val="baseline"/>
        <w:rPr>
          <w:bCs/>
          <w:i/>
          <w:iCs/>
        </w:rPr>
      </w:pPr>
      <w:r w:rsidRPr="00EC2201">
        <w:rPr>
          <w:bCs/>
          <w:i/>
          <w:iCs/>
        </w:rPr>
        <w:t xml:space="preserve">To </w:t>
      </w:r>
      <w:r w:rsidR="00E656DB" w:rsidRPr="00EC2201">
        <w:rPr>
          <w:bCs/>
          <w:i/>
          <w:iCs/>
        </w:rPr>
        <w:t>specify,</w:t>
      </w:r>
      <w:r w:rsidRPr="00EC2201">
        <w:rPr>
          <w:bCs/>
          <w:i/>
          <w:iCs/>
        </w:rPr>
        <w:t xml:space="preserve"> if necessary, enhancements to the Rel-17 procedures for DMRS bundling for PUSCH taking into account NTN-specifics (</w:t>
      </w:r>
      <w:proofErr w:type="gramStart"/>
      <w:r w:rsidRPr="00EC2201">
        <w:rPr>
          <w:bCs/>
          <w:i/>
          <w:iCs/>
        </w:rPr>
        <w:t>e.g.</w:t>
      </w:r>
      <w:proofErr w:type="gramEnd"/>
      <w:r w:rsidRPr="00EC2201">
        <w:rPr>
          <w:bCs/>
          <w:i/>
          <w:iCs/>
        </w:rPr>
        <w:t xml:space="preserve"> time-frequency pre-compensation) [RAN1]</w:t>
      </w:r>
    </w:p>
    <w:p w14:paraId="6A044122" w14:textId="77777777" w:rsidR="009E0CDE" w:rsidRDefault="009E0CDE" w:rsidP="00086034">
      <w:pPr>
        <w:pStyle w:val="B1"/>
        <w:jc w:val="both"/>
        <w:rPr>
          <w:rFonts w:eastAsia="MS Mincho"/>
          <w:lang w:eastAsia="ja-JP"/>
        </w:rPr>
      </w:pPr>
    </w:p>
    <w:p w14:paraId="404396E9" w14:textId="1271DCF0" w:rsidR="009E0CDE" w:rsidRPr="00EC2201" w:rsidRDefault="009E0CDE" w:rsidP="00086034">
      <w:pPr>
        <w:jc w:val="both"/>
        <w:rPr>
          <w:bCs/>
          <w:i/>
          <w:iCs/>
        </w:rPr>
      </w:pPr>
      <w:r w:rsidRPr="00EC2201">
        <w:rPr>
          <w:bCs/>
          <w:i/>
          <w:iCs/>
        </w:rPr>
        <w:t>Network verified UE location</w:t>
      </w:r>
      <w:r>
        <w:rPr>
          <w:bCs/>
          <w:i/>
          <w:iCs/>
        </w:rPr>
        <w:t>:</w:t>
      </w:r>
    </w:p>
    <w:p w14:paraId="7C012F26" w14:textId="77777777" w:rsidR="009E0CDE" w:rsidRPr="00EC2201" w:rsidRDefault="009E0CDE" w:rsidP="00086034">
      <w:pPr>
        <w:pStyle w:val="ListParagraph"/>
        <w:numPr>
          <w:ilvl w:val="0"/>
          <w:numId w:val="55"/>
        </w:numPr>
        <w:jc w:val="both"/>
        <w:rPr>
          <w:bCs/>
          <w:i/>
          <w:iCs/>
        </w:rPr>
      </w:pPr>
      <w:r w:rsidRPr="00EC2201">
        <w:rPr>
          <w:bCs/>
          <w:i/>
          <w:iCs/>
        </w:rPr>
        <w:t>Based on RAN1 conclusions of the study phase, RAN to prioritize the specification of necessary enhancements to multi-RTT to support the network verified UE location in NTN assuming a single satellite in view [RAN1, 2, 3, 4]. DL-</w:t>
      </w:r>
      <w:proofErr w:type="spellStart"/>
      <w:r w:rsidRPr="00EC2201">
        <w:rPr>
          <w:bCs/>
          <w:i/>
          <w:iCs/>
        </w:rPr>
        <w:t>TDoA</w:t>
      </w:r>
      <w:proofErr w:type="spellEnd"/>
      <w:r w:rsidRPr="00EC2201">
        <w:rPr>
          <w:bCs/>
          <w:i/>
          <w:iCs/>
        </w:rPr>
        <w:t xml:space="preserve"> methods for verification may be considered as lower priority and if time permits and condition in Note is satisfied.</w:t>
      </w:r>
    </w:p>
    <w:p w14:paraId="0FDDB468" w14:textId="77777777" w:rsidR="000F70F9" w:rsidRDefault="000F70F9" w:rsidP="000F70F9">
      <w:pPr>
        <w:rPr>
          <w:rFonts w:eastAsia="MS Mincho"/>
          <w:lang w:eastAsia="ja-JP"/>
        </w:rPr>
      </w:pPr>
    </w:p>
    <w:p w14:paraId="11C353A6" w14:textId="31C44094" w:rsidR="006525BD" w:rsidRPr="006525BD" w:rsidRDefault="0025389B" w:rsidP="000F70F9">
      <w:pPr>
        <w:rPr>
          <w:rFonts w:eastAsia="MS Mincho"/>
          <w:lang w:eastAsia="ja-JP"/>
        </w:rPr>
      </w:pPr>
      <w:r w:rsidRPr="0047712A">
        <w:rPr>
          <w:rFonts w:eastAsia="MS Mincho"/>
          <w:lang w:eastAsia="ja-JP"/>
        </w:rPr>
        <w:t xml:space="preserve">In this contribution, we discuss </w:t>
      </w:r>
      <w:r w:rsidR="008733FD" w:rsidRPr="0047712A">
        <w:rPr>
          <w:rFonts w:eastAsia="MS Mincho"/>
          <w:lang w:eastAsia="ja-JP"/>
        </w:rPr>
        <w:t>the</w:t>
      </w:r>
      <w:r w:rsidR="00C31D65" w:rsidRPr="0047712A">
        <w:rPr>
          <w:rFonts w:eastAsia="MS Mincho"/>
          <w:lang w:eastAsia="ja-JP"/>
        </w:rPr>
        <w:t xml:space="preserve"> </w:t>
      </w:r>
      <w:r w:rsidR="00ED4C77" w:rsidRPr="0047712A">
        <w:rPr>
          <w:rFonts w:eastAsia="MS Mincho"/>
          <w:lang w:eastAsia="ja-JP"/>
        </w:rPr>
        <w:t>UE feature</w:t>
      </w:r>
      <w:r w:rsidR="0047712A" w:rsidRPr="0047712A">
        <w:rPr>
          <w:rFonts w:eastAsia="MS Mincho"/>
          <w:lang w:eastAsia="ja-JP"/>
        </w:rPr>
        <w:t xml:space="preserve">s on </w:t>
      </w:r>
      <w:r w:rsidR="009E0CDE">
        <w:rPr>
          <w:rFonts w:eastAsia="MS Mincho"/>
          <w:lang w:eastAsia="ja-JP"/>
        </w:rPr>
        <w:t>NR</w:t>
      </w:r>
      <w:r w:rsidR="0047712A" w:rsidRPr="0047712A">
        <w:rPr>
          <w:rFonts w:eastAsia="MS Mincho"/>
          <w:lang w:eastAsia="ja-JP"/>
        </w:rPr>
        <w:t xml:space="preserve"> NTN enhancements</w:t>
      </w:r>
      <w:r w:rsidR="00D962D6" w:rsidRPr="0047712A">
        <w:rPr>
          <w:rFonts w:eastAsia="MS Mincho"/>
          <w:lang w:eastAsia="ja-JP"/>
        </w:rPr>
        <w:t xml:space="preserve"> </w:t>
      </w:r>
      <w:r w:rsidR="008733FD" w:rsidRPr="0047712A">
        <w:rPr>
          <w:rFonts w:eastAsia="MS Mincho"/>
          <w:lang w:eastAsia="ja-JP"/>
        </w:rPr>
        <w:t>and</w:t>
      </w:r>
      <w:r w:rsidR="00A37411" w:rsidRPr="0047712A">
        <w:rPr>
          <w:rFonts w:eastAsia="MS Mincho"/>
          <w:lang w:eastAsia="ja-JP"/>
        </w:rPr>
        <w:t xml:space="preserve"> </w:t>
      </w:r>
      <w:r w:rsidR="008733FD" w:rsidRPr="0047712A">
        <w:rPr>
          <w:rFonts w:eastAsia="MS Mincho"/>
          <w:lang w:eastAsia="ja-JP"/>
        </w:rPr>
        <w:t>give our proposals</w:t>
      </w:r>
      <w:r w:rsidR="0039135A" w:rsidRPr="0047712A">
        <w:rPr>
          <w:rFonts w:eastAsia="MS Mincho"/>
          <w:lang w:eastAsia="ja-JP"/>
        </w:rPr>
        <w:t>.</w:t>
      </w:r>
    </w:p>
    <w:p w14:paraId="1C77C68A" w14:textId="4427B7C0" w:rsidR="00BB1D8E" w:rsidRPr="00BB1D8E" w:rsidRDefault="0033104D" w:rsidP="000F70F9">
      <w:pPr>
        <w:pStyle w:val="Heading1"/>
        <w:spacing w:before="120" w:after="120"/>
        <w:ind w:left="562" w:hanging="562"/>
        <w:rPr>
          <w:rFonts w:cs="Arial"/>
          <w:bCs/>
          <w:szCs w:val="36"/>
          <w:lang w:val="en-US" w:eastAsia="zh-CN"/>
        </w:rPr>
      </w:pPr>
      <w:r w:rsidRPr="00D81859">
        <w:rPr>
          <w:rFonts w:cs="Arial"/>
          <w:bCs/>
          <w:szCs w:val="36"/>
          <w:lang w:val="en-US" w:eastAsia="zh-CN"/>
        </w:rPr>
        <w:t xml:space="preserve">Discussion </w:t>
      </w:r>
      <w:r w:rsidR="008733FD" w:rsidRPr="00D81859">
        <w:rPr>
          <w:rFonts w:cs="Arial"/>
          <w:bCs/>
          <w:szCs w:val="36"/>
          <w:lang w:val="en-US" w:eastAsia="zh-CN"/>
        </w:rPr>
        <w:t xml:space="preserve">on </w:t>
      </w:r>
      <w:r w:rsidR="00BB1D8E">
        <w:rPr>
          <w:rFonts w:cs="Arial"/>
          <w:bCs/>
          <w:szCs w:val="36"/>
          <w:lang w:val="en-US" w:eastAsia="zh-CN"/>
        </w:rPr>
        <w:t>NR</w:t>
      </w:r>
      <w:r w:rsidR="00D81859">
        <w:rPr>
          <w:rFonts w:cs="Arial"/>
          <w:bCs/>
          <w:szCs w:val="36"/>
          <w:lang w:val="en-US" w:eastAsia="zh-CN"/>
        </w:rPr>
        <w:t xml:space="preserve"> NTN</w:t>
      </w:r>
      <w:r w:rsidR="00ED4C77" w:rsidRPr="00D81859">
        <w:rPr>
          <w:rFonts w:cs="Arial"/>
          <w:bCs/>
          <w:szCs w:val="36"/>
          <w:lang w:val="en-US" w:eastAsia="zh-CN"/>
        </w:rPr>
        <w:t xml:space="preserve"> UE features</w:t>
      </w:r>
    </w:p>
    <w:p w14:paraId="35E8ED06" w14:textId="38103691" w:rsidR="009E0CDE" w:rsidRDefault="009E0CDE" w:rsidP="009E0CDE">
      <w:pPr>
        <w:jc w:val="both"/>
        <w:rPr>
          <w:color w:val="000000"/>
        </w:rPr>
      </w:pPr>
      <w:r>
        <w:rPr>
          <w:color w:val="000000"/>
        </w:rPr>
        <w:t xml:space="preserve">For NR NTN coverage enhancement objective, there are two tasks: PUCCH enhancements for Msg 4 HARQ-ACK and enhancements for DMRS bundling for PUSCH taking into account NTN-specifics. </w:t>
      </w:r>
    </w:p>
    <w:p w14:paraId="2ADE63F2" w14:textId="77777777" w:rsidR="009E0CDE" w:rsidRDefault="009E0CDE" w:rsidP="009E0CDE">
      <w:pPr>
        <w:jc w:val="both"/>
        <w:rPr>
          <w:color w:val="000000"/>
        </w:rPr>
      </w:pPr>
    </w:p>
    <w:p w14:paraId="6CAE7441" w14:textId="50118F69" w:rsidR="009E0CDE" w:rsidRDefault="009E0CDE" w:rsidP="009E0CDE">
      <w:pPr>
        <w:jc w:val="both"/>
        <w:rPr>
          <w:color w:val="000000"/>
        </w:rPr>
      </w:pPr>
      <w:r>
        <w:rPr>
          <w:color w:val="000000"/>
        </w:rPr>
        <w:t xml:space="preserve">For PUCCH enhancements for Msg4 HARQ-ACK, the main scheme designed in RAN1 is PUCCH repetition. This includes UE sending repetition request or capability report to gNB to indicate either it has PUCCH repetition capability for Msg4 HARQ-ACK or it additionally requests PUCCH repetition for Msg4 HARQ-ACK based on its own downlink RSRP measurements. This repetition request or capability report is via Msg3 PUSCH higher layer signaling based on working assumption. </w:t>
      </w:r>
      <w:r w:rsidR="00E656DB">
        <w:rPr>
          <w:color w:val="000000"/>
        </w:rPr>
        <w:t xml:space="preserve">If more than one repetition factor is configured by network, network will dynamically indicate the number of repetitions for Msg4 HARQ-ACK to a UE. </w:t>
      </w:r>
    </w:p>
    <w:p w14:paraId="3C6F54A5" w14:textId="77777777" w:rsidR="00E656DB" w:rsidRDefault="00E656DB" w:rsidP="009E0CDE">
      <w:pPr>
        <w:jc w:val="both"/>
        <w:rPr>
          <w:color w:val="000000"/>
        </w:rPr>
      </w:pPr>
    </w:p>
    <w:p w14:paraId="5AB1751B" w14:textId="20D6867D" w:rsidR="00E656DB" w:rsidRDefault="00E656DB" w:rsidP="009E0CDE">
      <w:pPr>
        <w:jc w:val="both"/>
        <w:rPr>
          <w:color w:val="000000"/>
        </w:rPr>
      </w:pPr>
      <w:r>
        <w:rPr>
          <w:color w:val="000000"/>
        </w:rPr>
        <w:t>Overall, we propose to define a new UE feature group of PUCCH repetition for Msg4 HARQ-ACK. The components of this FG includ</w:t>
      </w:r>
      <w:r w:rsidR="007229FA">
        <w:rPr>
          <w:color w:val="000000"/>
        </w:rPr>
        <w:t>e</w:t>
      </w:r>
      <w:r>
        <w:rPr>
          <w:color w:val="000000"/>
        </w:rPr>
        <w:t xml:space="preserve"> UE sending repetition request or capability report to gNB; UE receiving repetition factor from gNB and applying it to PUCCH repetition for Msg4 HARQ-ACK. </w:t>
      </w:r>
    </w:p>
    <w:p w14:paraId="53EB80F0" w14:textId="77777777" w:rsidR="009E0CDE" w:rsidRDefault="009E0CDE" w:rsidP="009E0CDE">
      <w:pPr>
        <w:jc w:val="both"/>
        <w:rPr>
          <w:color w:val="000000"/>
        </w:rPr>
      </w:pPr>
    </w:p>
    <w:p w14:paraId="0D243DC5" w14:textId="73CC1E91" w:rsidR="006525BD" w:rsidRDefault="009E0CDE" w:rsidP="000F70F9">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Pr="0020245A">
        <w:rPr>
          <w:i/>
          <w:iCs/>
        </w:rPr>
        <w:t>D</w:t>
      </w:r>
      <w:r>
        <w:rPr>
          <w:i/>
          <w:iCs/>
        </w:rPr>
        <w:t>efine a UE FG of PUCCH repetition for Msg4 HARQ-ACK,</w:t>
      </w:r>
      <w:r w:rsidRPr="009E0CDE">
        <w:rPr>
          <w:i/>
          <w:iCs/>
        </w:rPr>
        <w:t xml:space="preserve"> </w:t>
      </w:r>
      <w:r>
        <w:rPr>
          <w:i/>
          <w:iCs/>
        </w:rPr>
        <w:t>including the following components</w:t>
      </w:r>
    </w:p>
    <w:p w14:paraId="07C9301C" w14:textId="7C26EC0C" w:rsidR="009E0CDE" w:rsidRDefault="009E0CDE" w:rsidP="009E0CDE">
      <w:pPr>
        <w:pStyle w:val="ListParagraph"/>
        <w:numPr>
          <w:ilvl w:val="0"/>
          <w:numId w:val="53"/>
        </w:numPr>
        <w:jc w:val="both"/>
        <w:rPr>
          <w:i/>
          <w:iCs/>
        </w:rPr>
      </w:pPr>
      <w:r>
        <w:rPr>
          <w:i/>
          <w:iCs/>
        </w:rPr>
        <w:t>Send repetition request or capability report to gNB.</w:t>
      </w:r>
    </w:p>
    <w:p w14:paraId="4360812C" w14:textId="0A618480" w:rsidR="009E0CDE" w:rsidRPr="009E0CDE" w:rsidRDefault="009E0CDE" w:rsidP="009E0CDE">
      <w:pPr>
        <w:pStyle w:val="ListParagraph"/>
        <w:numPr>
          <w:ilvl w:val="0"/>
          <w:numId w:val="53"/>
        </w:numPr>
        <w:jc w:val="both"/>
        <w:rPr>
          <w:i/>
          <w:iCs/>
        </w:rPr>
      </w:pPr>
      <w:r>
        <w:rPr>
          <w:i/>
          <w:iCs/>
        </w:rPr>
        <w:t xml:space="preserve">Receive repetition </w:t>
      </w:r>
      <w:r w:rsidR="00E656DB">
        <w:rPr>
          <w:i/>
          <w:iCs/>
        </w:rPr>
        <w:t>factor</w:t>
      </w:r>
      <w:r>
        <w:rPr>
          <w:i/>
          <w:iCs/>
        </w:rPr>
        <w:t xml:space="preserve"> from gNB and apply it to PUCCH repetition for Msg4 HARQ-ACK. </w:t>
      </w:r>
    </w:p>
    <w:p w14:paraId="5CD56E15" w14:textId="77777777" w:rsidR="009E0CDE" w:rsidRDefault="009E0CDE" w:rsidP="000F70F9">
      <w:pPr>
        <w:jc w:val="both"/>
        <w:rPr>
          <w:b/>
          <w:bCs/>
          <w:color w:val="000000"/>
        </w:rPr>
      </w:pPr>
    </w:p>
    <w:p w14:paraId="4689BCC3" w14:textId="77777777" w:rsidR="007229FA" w:rsidRDefault="00E656DB" w:rsidP="000F70F9">
      <w:pPr>
        <w:jc w:val="both"/>
        <w:rPr>
          <w:color w:val="000000"/>
        </w:rPr>
      </w:pPr>
      <w:r w:rsidRPr="00E656DB">
        <w:rPr>
          <w:color w:val="000000"/>
        </w:rPr>
        <w:lastRenderedPageBreak/>
        <w:t>For</w:t>
      </w:r>
      <w:r>
        <w:rPr>
          <w:color w:val="000000"/>
        </w:rPr>
        <w:t xml:space="preserve"> enhancements for DMRS bundling for PUSCH taking into account NTN-specifics, </w:t>
      </w:r>
      <w:r w:rsidR="008A7A9C">
        <w:rPr>
          <w:color w:val="000000"/>
        </w:rPr>
        <w:t xml:space="preserve">it was agreed </w:t>
      </w:r>
      <w:r w:rsidR="008A7A9C">
        <w:rPr>
          <w:color w:val="000000"/>
        </w:rPr>
        <w:fldChar w:fldCharType="begin"/>
      </w:r>
      <w:r w:rsidR="008A7A9C">
        <w:rPr>
          <w:color w:val="000000"/>
        </w:rPr>
        <w:instrText xml:space="preserve"> REF _Ref134697907 \r \h </w:instrText>
      </w:r>
      <w:r w:rsidR="008A7A9C">
        <w:rPr>
          <w:color w:val="000000"/>
        </w:rPr>
      </w:r>
      <w:r w:rsidR="008A7A9C">
        <w:rPr>
          <w:color w:val="000000"/>
        </w:rPr>
        <w:fldChar w:fldCharType="separate"/>
      </w:r>
      <w:r w:rsidR="008A7A9C">
        <w:rPr>
          <w:color w:val="000000"/>
        </w:rPr>
        <w:t>[3]</w:t>
      </w:r>
      <w:r w:rsidR="008A7A9C">
        <w:rPr>
          <w:color w:val="000000"/>
        </w:rPr>
        <w:fldChar w:fldCharType="end"/>
      </w:r>
      <w:r w:rsidR="008A7A9C">
        <w:rPr>
          <w:color w:val="000000"/>
        </w:rPr>
        <w:t xml:space="preserve"> that for NTN-specific PUSCH DMRS bundling, gNB-centric TDW determination is supported where nominal TDW is determined based on gNB configuration and actual TDW is determined based on gNB configuration/indication. </w:t>
      </w:r>
    </w:p>
    <w:p w14:paraId="0DB8AEA3" w14:textId="77777777" w:rsidR="007229FA" w:rsidRDefault="007229FA" w:rsidP="000F70F9">
      <w:pPr>
        <w:jc w:val="both"/>
        <w:rPr>
          <w:color w:val="000000"/>
        </w:rPr>
      </w:pPr>
    </w:p>
    <w:p w14:paraId="2141666C" w14:textId="6CA295F5" w:rsidR="008A7A9C" w:rsidRPr="00E656DB" w:rsidRDefault="008A7A9C" w:rsidP="000F70F9">
      <w:pPr>
        <w:jc w:val="both"/>
        <w:rPr>
          <w:color w:val="000000"/>
        </w:rPr>
      </w:pPr>
      <w:r>
        <w:rPr>
          <w:color w:val="000000"/>
        </w:rPr>
        <w:t>To facilitate gNB configuration of nominal TDW and actual TDW, UE needs to report its capability on pre-compensation to keep phase rotation within the phase difference limit, as well as its capability on TA pre-compensation update within an actual TDW. Both capabilities may be</w:t>
      </w:r>
      <w:r w:rsidR="007229FA">
        <w:rPr>
          <w:color w:val="000000"/>
        </w:rPr>
        <w:t xml:space="preserve"> reflected</w:t>
      </w:r>
      <w:r>
        <w:rPr>
          <w:color w:val="000000"/>
        </w:rPr>
        <w:t xml:space="preserve"> in the form of the maximum number of slots, in which UE could</w:t>
      </w:r>
      <w:r w:rsidRPr="008A7A9C">
        <w:rPr>
          <w:i/>
          <w:iCs/>
        </w:rPr>
        <w:t xml:space="preserve"> </w:t>
      </w:r>
      <w:r w:rsidRPr="008A7A9C">
        <w:t>pre-compensate to keep phase rotation within the phase difference limit and keep timing error within the timing error limit</w:t>
      </w:r>
      <w:r>
        <w:t xml:space="preserve">. </w:t>
      </w:r>
      <w:r w:rsidR="007229FA">
        <w:t xml:space="preserve">Hence, we propose to define a new UE feature group of enhanced DMRS bundling for PUSCH taking into account NTN-specifics. </w:t>
      </w:r>
    </w:p>
    <w:p w14:paraId="0B96CEA1" w14:textId="655BBC0A" w:rsidR="00E656DB" w:rsidRDefault="00E656DB" w:rsidP="000F70F9">
      <w:pPr>
        <w:jc w:val="both"/>
        <w:rPr>
          <w:b/>
          <w:bCs/>
          <w:color w:val="000000"/>
        </w:rPr>
      </w:pPr>
    </w:p>
    <w:p w14:paraId="256D5BFB" w14:textId="5B833EBF" w:rsidR="00E656DB" w:rsidRDefault="00E656DB" w:rsidP="00E656DB">
      <w:pPr>
        <w:jc w:val="both"/>
        <w:rPr>
          <w:i/>
          <w:iCs/>
        </w:rPr>
      </w:pPr>
      <w:r w:rsidRPr="003F245C">
        <w:rPr>
          <w:b/>
          <w:bCs/>
          <w:i/>
          <w:iCs/>
          <w:u w:val="single"/>
        </w:rPr>
        <w:t xml:space="preserve">Proposal </w:t>
      </w:r>
      <w:r w:rsidR="008A7A9C">
        <w:rPr>
          <w:b/>
          <w:bCs/>
          <w:i/>
          <w:iCs/>
          <w:u w:val="single"/>
        </w:rPr>
        <w:t>2</w:t>
      </w:r>
      <w:r w:rsidRPr="003F245C">
        <w:rPr>
          <w:b/>
          <w:bCs/>
          <w:i/>
          <w:iCs/>
          <w:u w:val="single"/>
        </w:rPr>
        <w:t>:</w:t>
      </w:r>
      <w:r>
        <w:t xml:space="preserve"> </w:t>
      </w:r>
      <w:r w:rsidRPr="0020245A">
        <w:rPr>
          <w:i/>
          <w:iCs/>
        </w:rPr>
        <w:t>D</w:t>
      </w:r>
      <w:r>
        <w:rPr>
          <w:i/>
          <w:iCs/>
        </w:rPr>
        <w:t xml:space="preserve">efine a UE FG of </w:t>
      </w:r>
      <w:r w:rsidR="008A7A9C">
        <w:rPr>
          <w:i/>
          <w:iCs/>
        </w:rPr>
        <w:t xml:space="preserve">enhanced DMRS bundling for PUSCH taking into account NTN-specifics, </w:t>
      </w:r>
      <w:r>
        <w:rPr>
          <w:i/>
          <w:iCs/>
        </w:rPr>
        <w:t>including the following component</w:t>
      </w:r>
    </w:p>
    <w:p w14:paraId="100EDE28" w14:textId="3F1C8505" w:rsidR="00E656DB" w:rsidRPr="008A7A9C" w:rsidRDefault="008A7A9C" w:rsidP="008A7A9C">
      <w:pPr>
        <w:pStyle w:val="ListParagraph"/>
        <w:numPr>
          <w:ilvl w:val="0"/>
          <w:numId w:val="56"/>
        </w:numPr>
        <w:jc w:val="both"/>
        <w:rPr>
          <w:i/>
          <w:iCs/>
        </w:rPr>
      </w:pPr>
      <w:r>
        <w:rPr>
          <w:i/>
          <w:iCs/>
        </w:rPr>
        <w:t xml:space="preserve">Report its capability of pre-compensation to keep phase rotation within the phase difference limit and its capability of TA pre-compensation update within an actual TDW. </w:t>
      </w:r>
    </w:p>
    <w:p w14:paraId="66238762" w14:textId="77777777" w:rsidR="00E656DB" w:rsidRDefault="00E656DB" w:rsidP="00E656DB">
      <w:pPr>
        <w:jc w:val="both"/>
        <w:rPr>
          <w:i/>
          <w:iCs/>
        </w:rPr>
      </w:pPr>
    </w:p>
    <w:p w14:paraId="0FA56044" w14:textId="33A9B71B" w:rsidR="00086034" w:rsidRDefault="00086034" w:rsidP="00086034">
      <w:pPr>
        <w:jc w:val="both"/>
        <w:rPr>
          <w:bCs/>
        </w:rPr>
      </w:pPr>
      <w:r w:rsidRPr="00086034">
        <w:rPr>
          <w:bCs/>
        </w:rPr>
        <w:t>For the objective of network verified UE location</w:t>
      </w:r>
      <w:r>
        <w:rPr>
          <w:bCs/>
        </w:rPr>
        <w:t xml:space="preserve">, the existing RAN1 discussions </w:t>
      </w:r>
      <w:r w:rsidR="007229FA">
        <w:rPr>
          <w:bCs/>
        </w:rPr>
        <w:t>focus</w:t>
      </w:r>
      <w:r>
        <w:rPr>
          <w:bCs/>
        </w:rPr>
        <w:t xml:space="preserve"> on multi-RTT positioning method. There are no discussions on DL-</w:t>
      </w:r>
      <w:proofErr w:type="spellStart"/>
      <w:r>
        <w:rPr>
          <w:bCs/>
        </w:rPr>
        <w:t>TDoA</w:t>
      </w:r>
      <w:proofErr w:type="spellEnd"/>
      <w:r>
        <w:rPr>
          <w:bCs/>
        </w:rPr>
        <w:t xml:space="preserve"> positioning method. Hence, we propose to define a new UE feature group of supporting </w:t>
      </w:r>
      <w:proofErr w:type="gramStart"/>
      <w:r>
        <w:rPr>
          <w:bCs/>
        </w:rPr>
        <w:t>network</w:t>
      </w:r>
      <w:proofErr w:type="gramEnd"/>
      <w:r>
        <w:rPr>
          <w:bCs/>
        </w:rPr>
        <w:t xml:space="preserve"> verified UE location based on multi-RTT. </w:t>
      </w:r>
    </w:p>
    <w:p w14:paraId="563BDFA8" w14:textId="77777777" w:rsidR="00086034" w:rsidRDefault="00086034" w:rsidP="00086034">
      <w:pPr>
        <w:jc w:val="both"/>
        <w:rPr>
          <w:bCs/>
        </w:rPr>
      </w:pPr>
    </w:p>
    <w:p w14:paraId="1B237E4F" w14:textId="0C9C2120" w:rsidR="00086034" w:rsidRPr="00EC2201" w:rsidRDefault="00086034" w:rsidP="00086034">
      <w:pPr>
        <w:jc w:val="both"/>
        <w:rPr>
          <w:rFonts w:eastAsia="Calibri"/>
          <w:bCs/>
          <w:i/>
          <w:iCs/>
          <w:lang w:eastAsia="ja-JP"/>
        </w:rPr>
      </w:pPr>
      <w:r>
        <w:rPr>
          <w:bCs/>
        </w:rPr>
        <w:t xml:space="preserve">According to the existing RAN1 agreements, the legacy definition of UE Rx-Tx time difference does not fit for NTN case. A new definition of UE Rx-Tx time difference is being actively discussed. Here, UE needs to measure UE Rx-Tx time difference based on the new definition for NTN. This measurement needs to </w:t>
      </w:r>
      <w:r w:rsidR="007229FA">
        <w:rPr>
          <w:bCs/>
        </w:rPr>
        <w:t xml:space="preserve">be </w:t>
      </w:r>
      <w:r>
        <w:rPr>
          <w:bCs/>
        </w:rPr>
        <w:t>report</w:t>
      </w:r>
      <w:r w:rsidR="007229FA">
        <w:rPr>
          <w:bCs/>
        </w:rPr>
        <w:t>ed</w:t>
      </w:r>
      <w:r>
        <w:rPr>
          <w:bCs/>
        </w:rPr>
        <w:t xml:space="preserve"> to LMF for its verification of UE location. Hence, the new UE feature should include a component of “measure UE Rx-Tx time difference based on the definition for NTN and report the measured UE Rx-Tx time difference to LMF. </w:t>
      </w:r>
    </w:p>
    <w:p w14:paraId="2B313DFB" w14:textId="77777777" w:rsidR="00086034" w:rsidRDefault="00086034" w:rsidP="00E656DB">
      <w:pPr>
        <w:jc w:val="both"/>
        <w:rPr>
          <w:i/>
          <w:iCs/>
        </w:rPr>
      </w:pPr>
    </w:p>
    <w:p w14:paraId="31073916" w14:textId="550AFBA1" w:rsidR="00E656DB" w:rsidRDefault="00086034" w:rsidP="00E656DB">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Pr="0020245A">
        <w:rPr>
          <w:i/>
          <w:iCs/>
        </w:rPr>
        <w:t>D</w:t>
      </w:r>
      <w:r>
        <w:rPr>
          <w:i/>
          <w:iCs/>
        </w:rPr>
        <w:t>efine a UE FG of supporting network verified UE location based on multi-RTT, including the following component</w:t>
      </w:r>
    </w:p>
    <w:p w14:paraId="44F7AF62" w14:textId="1C2CDFF6" w:rsidR="00086034" w:rsidRPr="00086034" w:rsidRDefault="00086034" w:rsidP="00086034">
      <w:pPr>
        <w:pStyle w:val="ListParagraph"/>
        <w:numPr>
          <w:ilvl w:val="0"/>
          <w:numId w:val="56"/>
        </w:numPr>
        <w:jc w:val="both"/>
        <w:rPr>
          <w:i/>
          <w:iCs/>
        </w:rPr>
      </w:pPr>
      <w:r>
        <w:rPr>
          <w:i/>
          <w:iCs/>
        </w:rPr>
        <w:t xml:space="preserve">Measure UE Rx-Tx time difference based on the definition for NTN and report it to LMF. </w:t>
      </w:r>
    </w:p>
    <w:p w14:paraId="5F2DA385" w14:textId="77777777" w:rsidR="00086034" w:rsidRPr="00526679" w:rsidRDefault="00086034" w:rsidP="00E656DB">
      <w:pPr>
        <w:jc w:val="both"/>
        <w:rPr>
          <w:b/>
          <w:bCs/>
          <w:color w:val="000000"/>
        </w:rPr>
      </w:pPr>
    </w:p>
    <w:p w14:paraId="1DE6452F" w14:textId="77777777" w:rsidR="00D12367" w:rsidRPr="00D81859" w:rsidRDefault="00D12367" w:rsidP="00BB1D8E">
      <w:pPr>
        <w:pStyle w:val="Heading1"/>
        <w:pBdr>
          <w:top w:val="single" w:sz="12" w:space="0" w:color="auto"/>
        </w:pBdr>
        <w:spacing w:before="120" w:after="120"/>
        <w:ind w:left="562" w:hanging="562"/>
        <w:rPr>
          <w:szCs w:val="36"/>
        </w:rPr>
      </w:pPr>
      <w:r w:rsidRPr="00D81859">
        <w:rPr>
          <w:szCs w:val="36"/>
        </w:rPr>
        <w:t>Summary</w:t>
      </w:r>
    </w:p>
    <w:p w14:paraId="29013C14" w14:textId="08CCF7AB" w:rsidR="00C048AB" w:rsidRDefault="00D12367" w:rsidP="000F70F9">
      <w:pPr>
        <w:overflowPunct w:val="0"/>
        <w:autoSpaceDE w:val="0"/>
        <w:autoSpaceDN w:val="0"/>
        <w:adjustRightInd w:val="0"/>
        <w:jc w:val="both"/>
        <w:textAlignment w:val="baseline"/>
        <w:rPr>
          <w:rFonts w:eastAsia="MS Mincho"/>
          <w:lang w:eastAsia="ja-JP"/>
        </w:rPr>
      </w:pPr>
      <w:r w:rsidRPr="00D35D6F">
        <w:rPr>
          <w:rFonts w:eastAsia="MS Mincho"/>
          <w:lang w:eastAsia="ja-JP"/>
        </w:rPr>
        <w:t xml:space="preserve">In this contribution, we discuss </w:t>
      </w:r>
      <w:r w:rsidR="00961284" w:rsidRPr="00D35D6F">
        <w:rPr>
          <w:rFonts w:eastAsia="MS Mincho"/>
          <w:lang w:eastAsia="ja-JP"/>
        </w:rPr>
        <w:t xml:space="preserve">the </w:t>
      </w:r>
      <w:r w:rsidR="00D35D6F">
        <w:rPr>
          <w:rFonts w:eastAsia="MS Mincho"/>
          <w:lang w:eastAsia="ja-JP"/>
        </w:rPr>
        <w:t xml:space="preserve">Rel-18 </w:t>
      </w:r>
      <w:r w:rsidR="00BB1D8E">
        <w:rPr>
          <w:rFonts w:eastAsia="MS Mincho"/>
          <w:lang w:eastAsia="ja-JP"/>
        </w:rPr>
        <w:t>NR</w:t>
      </w:r>
      <w:r w:rsidR="00D35D6F">
        <w:rPr>
          <w:rFonts w:eastAsia="MS Mincho"/>
          <w:lang w:eastAsia="ja-JP"/>
        </w:rPr>
        <w:t xml:space="preserve"> NTN enhancement</w:t>
      </w:r>
      <w:r w:rsidR="00A33B6D" w:rsidRPr="00D35D6F">
        <w:rPr>
          <w:rFonts w:eastAsia="MS Mincho"/>
          <w:lang w:eastAsia="ja-JP"/>
        </w:rPr>
        <w:t xml:space="preserve"> UE capability</w:t>
      </w:r>
      <w:r w:rsidR="00961284" w:rsidRPr="00D35D6F">
        <w:rPr>
          <w:rFonts w:eastAsia="MS Mincho"/>
          <w:b/>
          <w:bCs/>
          <w:lang w:eastAsia="ja-JP"/>
        </w:rPr>
        <w:t>,</w:t>
      </w:r>
      <w:r w:rsidR="007A6A99" w:rsidRPr="00D35D6F">
        <w:rPr>
          <w:rFonts w:eastAsia="MS Mincho"/>
          <w:lang w:eastAsia="ja-JP"/>
        </w:rPr>
        <w:t xml:space="preserve"> </w:t>
      </w:r>
      <w:r w:rsidR="001D0C16" w:rsidRPr="00D35D6F">
        <w:rPr>
          <w:rFonts w:eastAsia="MS Mincho"/>
          <w:lang w:eastAsia="ja-JP"/>
        </w:rPr>
        <w:t xml:space="preserve">and </w:t>
      </w:r>
      <w:r w:rsidRPr="00D35D6F">
        <w:rPr>
          <w:rFonts w:eastAsia="MS Mincho"/>
          <w:lang w:eastAsia="ja-JP"/>
        </w:rPr>
        <w:t>have the following proposals:</w:t>
      </w:r>
    </w:p>
    <w:p w14:paraId="2AED4D70" w14:textId="77777777" w:rsidR="00086034" w:rsidRDefault="00086034" w:rsidP="000F70F9">
      <w:pPr>
        <w:overflowPunct w:val="0"/>
        <w:autoSpaceDE w:val="0"/>
        <w:autoSpaceDN w:val="0"/>
        <w:adjustRightInd w:val="0"/>
        <w:jc w:val="both"/>
        <w:textAlignment w:val="baseline"/>
        <w:rPr>
          <w:rFonts w:eastAsia="MS Mincho"/>
          <w:lang w:eastAsia="ja-JP"/>
        </w:rPr>
      </w:pPr>
    </w:p>
    <w:p w14:paraId="28BDCC76" w14:textId="77777777" w:rsidR="00086034" w:rsidRDefault="00086034" w:rsidP="00086034">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sidRPr="0020245A">
        <w:rPr>
          <w:i/>
          <w:iCs/>
        </w:rPr>
        <w:t>D</w:t>
      </w:r>
      <w:r>
        <w:rPr>
          <w:i/>
          <w:iCs/>
        </w:rPr>
        <w:t>efine a UE FG of PUCCH repetition for Msg4 HARQ-ACK,</w:t>
      </w:r>
      <w:r w:rsidRPr="009E0CDE">
        <w:rPr>
          <w:i/>
          <w:iCs/>
        </w:rPr>
        <w:t xml:space="preserve"> </w:t>
      </w:r>
      <w:r>
        <w:rPr>
          <w:i/>
          <w:iCs/>
        </w:rPr>
        <w:t>including the following components</w:t>
      </w:r>
    </w:p>
    <w:p w14:paraId="14599E7D" w14:textId="77777777" w:rsidR="00086034" w:rsidRDefault="00086034" w:rsidP="00086034">
      <w:pPr>
        <w:pStyle w:val="ListParagraph"/>
        <w:numPr>
          <w:ilvl w:val="0"/>
          <w:numId w:val="53"/>
        </w:numPr>
        <w:jc w:val="both"/>
        <w:rPr>
          <w:i/>
          <w:iCs/>
        </w:rPr>
      </w:pPr>
      <w:r>
        <w:rPr>
          <w:i/>
          <w:iCs/>
        </w:rPr>
        <w:t>Send repetition request or capability report to gNB.</w:t>
      </w:r>
    </w:p>
    <w:p w14:paraId="4D21F029" w14:textId="77777777" w:rsidR="00086034" w:rsidRPr="009E0CDE" w:rsidRDefault="00086034" w:rsidP="00086034">
      <w:pPr>
        <w:pStyle w:val="ListParagraph"/>
        <w:numPr>
          <w:ilvl w:val="0"/>
          <w:numId w:val="53"/>
        </w:numPr>
        <w:jc w:val="both"/>
        <w:rPr>
          <w:i/>
          <w:iCs/>
        </w:rPr>
      </w:pPr>
      <w:r>
        <w:rPr>
          <w:i/>
          <w:iCs/>
        </w:rPr>
        <w:t xml:space="preserve">Receive repetition factor from gNB and apply it to PUCCH repetition for Msg4 HARQ-ACK. </w:t>
      </w:r>
    </w:p>
    <w:p w14:paraId="38CCED71" w14:textId="77777777" w:rsidR="00086034" w:rsidRPr="00086034" w:rsidRDefault="00086034" w:rsidP="000F70F9">
      <w:pPr>
        <w:overflowPunct w:val="0"/>
        <w:autoSpaceDE w:val="0"/>
        <w:autoSpaceDN w:val="0"/>
        <w:adjustRightInd w:val="0"/>
        <w:jc w:val="both"/>
        <w:textAlignment w:val="baseline"/>
        <w:rPr>
          <w:rFonts w:eastAsia="MS Mincho"/>
          <w:b/>
          <w:bCs/>
          <w:lang w:eastAsia="ja-JP"/>
        </w:rPr>
      </w:pPr>
    </w:p>
    <w:p w14:paraId="5C6D93D2" w14:textId="21642BF4" w:rsidR="00086034" w:rsidRDefault="00086034" w:rsidP="00086034">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20245A">
        <w:rPr>
          <w:i/>
          <w:iCs/>
        </w:rPr>
        <w:t>D</w:t>
      </w:r>
      <w:r>
        <w:rPr>
          <w:i/>
          <w:iCs/>
        </w:rPr>
        <w:t>efine a UE FG of enhanced DMRS bundling for PUSCH taking into account NTN-specifics, including the following component</w:t>
      </w:r>
    </w:p>
    <w:p w14:paraId="2EDFD7FB" w14:textId="1E1671D0" w:rsidR="00086034" w:rsidRPr="00086034" w:rsidRDefault="00086034" w:rsidP="00086034">
      <w:pPr>
        <w:pStyle w:val="ListParagraph"/>
        <w:numPr>
          <w:ilvl w:val="0"/>
          <w:numId w:val="56"/>
        </w:numPr>
        <w:jc w:val="both"/>
        <w:rPr>
          <w:i/>
          <w:iCs/>
        </w:rPr>
      </w:pPr>
      <w:r>
        <w:rPr>
          <w:i/>
          <w:iCs/>
        </w:rPr>
        <w:t xml:space="preserve">Report its capability of pre-compensation to keep phase rotation within the phase difference limit and its capability of TA pre-compensation update within an actual TDW. </w:t>
      </w:r>
    </w:p>
    <w:p w14:paraId="38A90DC1" w14:textId="77777777" w:rsidR="000F70F9" w:rsidRDefault="000F70F9" w:rsidP="000F70F9">
      <w:pPr>
        <w:jc w:val="both"/>
        <w:rPr>
          <w:b/>
          <w:bCs/>
          <w:i/>
          <w:iCs/>
          <w:u w:val="single"/>
        </w:rPr>
      </w:pPr>
    </w:p>
    <w:p w14:paraId="64B07732" w14:textId="1AF6E8AA" w:rsidR="00086034" w:rsidRDefault="00086034" w:rsidP="00086034">
      <w:pPr>
        <w:jc w:val="both"/>
        <w:rPr>
          <w:i/>
          <w:iCs/>
        </w:rPr>
      </w:pPr>
      <w:r w:rsidRPr="003F245C">
        <w:rPr>
          <w:b/>
          <w:bCs/>
          <w:i/>
          <w:iCs/>
          <w:u w:val="single"/>
        </w:rPr>
        <w:lastRenderedPageBreak/>
        <w:t xml:space="preserve">Proposal </w:t>
      </w:r>
      <w:r>
        <w:rPr>
          <w:b/>
          <w:bCs/>
          <w:i/>
          <w:iCs/>
          <w:u w:val="single"/>
        </w:rPr>
        <w:t>3</w:t>
      </w:r>
      <w:r w:rsidRPr="003F245C">
        <w:rPr>
          <w:b/>
          <w:bCs/>
          <w:i/>
          <w:iCs/>
          <w:u w:val="single"/>
        </w:rPr>
        <w:t>:</w:t>
      </w:r>
      <w:r>
        <w:t xml:space="preserve"> </w:t>
      </w:r>
      <w:r w:rsidRPr="0020245A">
        <w:rPr>
          <w:i/>
          <w:iCs/>
        </w:rPr>
        <w:t>D</w:t>
      </w:r>
      <w:r>
        <w:rPr>
          <w:i/>
          <w:iCs/>
        </w:rPr>
        <w:t>efine a UE FG of supporting network verified UE location based on multi-RTT, including the following component</w:t>
      </w:r>
    </w:p>
    <w:p w14:paraId="60D9B0F9" w14:textId="77777777" w:rsidR="00086034" w:rsidRPr="00086034" w:rsidRDefault="00086034" w:rsidP="00086034">
      <w:pPr>
        <w:pStyle w:val="ListParagraph"/>
        <w:numPr>
          <w:ilvl w:val="0"/>
          <w:numId w:val="56"/>
        </w:numPr>
        <w:jc w:val="both"/>
        <w:rPr>
          <w:i/>
          <w:iCs/>
        </w:rPr>
      </w:pPr>
      <w:r>
        <w:rPr>
          <w:i/>
          <w:iCs/>
        </w:rPr>
        <w:t xml:space="preserve">Measure UE Rx-Tx time difference based on the definition for NTN and report it to LMF. </w:t>
      </w:r>
    </w:p>
    <w:p w14:paraId="3D09AABD" w14:textId="77777777" w:rsidR="00BB1D8E" w:rsidRDefault="00BB1D8E" w:rsidP="000F70F9">
      <w:pPr>
        <w:jc w:val="both"/>
        <w:rPr>
          <w:b/>
          <w:bCs/>
          <w:i/>
          <w:iCs/>
          <w:u w:val="single"/>
        </w:rPr>
      </w:pPr>
    </w:p>
    <w:p w14:paraId="4949E188" w14:textId="4ED5FCE2" w:rsidR="0000192E" w:rsidRPr="001E6B6F" w:rsidRDefault="0017048A" w:rsidP="00BB1D8E">
      <w:pPr>
        <w:pStyle w:val="Heading1"/>
        <w:spacing w:before="120" w:after="120"/>
        <w:ind w:left="562" w:hanging="562"/>
        <w:rPr>
          <w:szCs w:val="36"/>
        </w:rPr>
      </w:pPr>
      <w:r w:rsidRPr="001E6B6F">
        <w:rPr>
          <w:szCs w:val="36"/>
        </w:rPr>
        <w:t>References</w:t>
      </w:r>
      <w:bookmarkStart w:id="2" w:name="_Ref523487962"/>
      <w:bookmarkStart w:id="3" w:name="_Ref523653838"/>
    </w:p>
    <w:p w14:paraId="149E1FD2" w14:textId="77777777" w:rsidR="00BB1D8E"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4" w:name="_Ref99716514"/>
      <w:bookmarkStart w:id="5" w:name="_Ref46220695"/>
      <w:bookmarkStart w:id="6" w:name="_Ref100217924"/>
      <w:bookmarkEnd w:id="2"/>
      <w:bookmarkEnd w:id="3"/>
      <w:r>
        <w:t xml:space="preserve">RP-213690, “New WI: NR NTN enhancements,” Dec. 2021. </w:t>
      </w:r>
    </w:p>
    <w:p w14:paraId="55EFB539" w14:textId="77777777" w:rsidR="00BB1D8E" w:rsidRPr="00A43991" w:rsidRDefault="00BB1D8E" w:rsidP="00BB1D8E">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7" w:name="_Ref106122779"/>
      <w:bookmarkStart w:id="8" w:name="_Ref114579056"/>
      <w:bookmarkEnd w:id="4"/>
      <w:bookmarkEnd w:id="5"/>
      <w:bookmarkEnd w:id="6"/>
      <w:r w:rsidRPr="00A43991">
        <w:t>RP-230809, “Revised WID: NR NTN (Non-Terrestrial Networks) enhancements,” Mar. 2023.</w:t>
      </w:r>
      <w:bookmarkEnd w:id="7"/>
    </w:p>
    <w:p w14:paraId="1F63CCB2" w14:textId="77777777" w:rsidR="008E02C6" w:rsidRDefault="008E02C6" w:rsidP="008E02C6">
      <w:pPr>
        <w:numPr>
          <w:ilvl w:val="0"/>
          <w:numId w:val="9"/>
        </w:numPr>
        <w:tabs>
          <w:tab w:val="clear" w:pos="567"/>
        </w:tabs>
        <w:overflowPunct w:val="0"/>
        <w:autoSpaceDE w:val="0"/>
        <w:autoSpaceDN w:val="0"/>
        <w:adjustRightInd w:val="0"/>
        <w:spacing w:before="100" w:beforeAutospacing="1" w:after="120"/>
        <w:ind w:left="562" w:hanging="562"/>
        <w:jc w:val="both"/>
        <w:textAlignment w:val="baseline"/>
      </w:pPr>
      <w:bookmarkStart w:id="9" w:name="_Ref134697907"/>
      <w:r>
        <w:t>Chairman’s Notes, 3GPP TSG RAN WG1 #112bis-e Meeting, Apr. 2023.</w:t>
      </w:r>
      <w:bookmarkEnd w:id="8"/>
      <w:bookmarkEnd w:id="9"/>
    </w:p>
    <w:p w14:paraId="098F4D64" w14:textId="77777777" w:rsidR="00A879E9" w:rsidRPr="00A879E9" w:rsidRDefault="00A879E9" w:rsidP="00BB1D8E">
      <w:pPr>
        <w:pStyle w:val="03Proposal"/>
      </w:pPr>
    </w:p>
    <w:sectPr w:rsidR="00A879E9" w:rsidRPr="00A879E9"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B25" w14:textId="77777777" w:rsidR="00F47412" w:rsidRDefault="00F47412">
      <w:r>
        <w:separator/>
      </w:r>
    </w:p>
  </w:endnote>
  <w:endnote w:type="continuationSeparator" w:id="0">
    <w:p w14:paraId="06629B07" w14:textId="77777777" w:rsidR="00F47412" w:rsidRDefault="00F47412">
      <w:r>
        <w:continuationSeparator/>
      </w:r>
    </w:p>
  </w:endnote>
  <w:endnote w:type="continuationNotice" w:id="1">
    <w:p w14:paraId="6DA38D48" w14:textId="77777777" w:rsidR="00F47412" w:rsidRDefault="00F47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4C2574"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B1D8E">
      <w:rPr>
        <w:rStyle w:val="PageNumber"/>
      </w:rPr>
      <w:t>1</w: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1D8D7" w14:textId="77777777" w:rsidR="00F47412" w:rsidRDefault="00F47412">
      <w:r>
        <w:separator/>
      </w:r>
    </w:p>
  </w:footnote>
  <w:footnote w:type="continuationSeparator" w:id="0">
    <w:p w14:paraId="69CE6CB0" w14:textId="77777777" w:rsidR="00F47412" w:rsidRDefault="00F47412">
      <w:r>
        <w:continuationSeparator/>
      </w:r>
    </w:p>
  </w:footnote>
  <w:footnote w:type="continuationNotice" w:id="1">
    <w:p w14:paraId="5D9720F0" w14:textId="77777777" w:rsidR="00F47412" w:rsidRDefault="00F47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5A2127"/>
    <w:multiLevelType w:val="hybridMultilevel"/>
    <w:tmpl w:val="056C6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751E15"/>
    <w:multiLevelType w:val="hybridMultilevel"/>
    <w:tmpl w:val="9E862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8E73E7"/>
    <w:multiLevelType w:val="hybridMultilevel"/>
    <w:tmpl w:val="21FC0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3E2E58"/>
    <w:multiLevelType w:val="hybridMultilevel"/>
    <w:tmpl w:val="43DEF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5E0C17"/>
    <w:multiLevelType w:val="multilevel"/>
    <w:tmpl w:val="06DA2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45D0813"/>
    <w:multiLevelType w:val="multilevel"/>
    <w:tmpl w:val="D7FC6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27820"/>
    <w:multiLevelType w:val="hybridMultilevel"/>
    <w:tmpl w:val="77A6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6"/>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1"/>
  </w:num>
  <w:num w:numId="7" w16cid:durableId="1093207114">
    <w:abstractNumId w:val="37"/>
  </w:num>
  <w:num w:numId="8" w16cid:durableId="1720472842">
    <w:abstractNumId w:val="22"/>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48"/>
  </w:num>
  <w:num w:numId="14" w16cid:durableId="1132333363">
    <w:abstractNumId w:val="14"/>
  </w:num>
  <w:num w:numId="15" w16cid:durableId="474181624">
    <w:abstractNumId w:val="38"/>
  </w:num>
  <w:num w:numId="16" w16cid:durableId="1307587963">
    <w:abstractNumId w:val="0"/>
  </w:num>
  <w:num w:numId="17" w16cid:durableId="871765446">
    <w:abstractNumId w:val="32"/>
  </w:num>
  <w:num w:numId="18" w16cid:durableId="2069692812">
    <w:abstractNumId w:val="34"/>
  </w:num>
  <w:num w:numId="19" w16cid:durableId="181166348">
    <w:abstractNumId w:val="18"/>
  </w:num>
  <w:num w:numId="20" w16cid:durableId="147138750">
    <w:abstractNumId w:val="21"/>
  </w:num>
  <w:num w:numId="21" w16cid:durableId="989863334">
    <w:abstractNumId w:val="27"/>
  </w:num>
  <w:num w:numId="22" w16cid:durableId="733434517">
    <w:abstractNumId w:val="54"/>
  </w:num>
  <w:num w:numId="23" w16cid:durableId="1765035812">
    <w:abstractNumId w:val="28"/>
  </w:num>
  <w:num w:numId="24" w16cid:durableId="1281230034">
    <w:abstractNumId w:val="26"/>
  </w:num>
  <w:num w:numId="25" w16cid:durableId="576596691">
    <w:abstractNumId w:val="49"/>
  </w:num>
  <w:num w:numId="26" w16cid:durableId="589701820">
    <w:abstractNumId w:val="24"/>
  </w:num>
  <w:num w:numId="27" w16cid:durableId="1121152205">
    <w:abstractNumId w:val="19"/>
  </w:num>
  <w:num w:numId="28" w16cid:durableId="1604609306">
    <w:abstractNumId w:val="31"/>
  </w:num>
  <w:num w:numId="29" w16cid:durableId="1874659462">
    <w:abstractNumId w:val="52"/>
  </w:num>
  <w:num w:numId="30" w16cid:durableId="718289596">
    <w:abstractNumId w:val="45"/>
  </w:num>
  <w:num w:numId="31" w16cid:durableId="1898397775">
    <w:abstractNumId w:val="7"/>
  </w:num>
  <w:num w:numId="32" w16cid:durableId="1487092995">
    <w:abstractNumId w:val="55"/>
  </w:num>
  <w:num w:numId="33" w16cid:durableId="1308900009">
    <w:abstractNumId w:val="15"/>
  </w:num>
  <w:num w:numId="34" w16cid:durableId="501507485">
    <w:abstractNumId w:val="46"/>
  </w:num>
  <w:num w:numId="35" w16cid:durableId="235749929">
    <w:abstractNumId w:val="9"/>
  </w:num>
  <w:num w:numId="36" w16cid:durableId="1355958128">
    <w:abstractNumId w:val="40"/>
  </w:num>
  <w:num w:numId="37" w16cid:durableId="291133994">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9"/>
  </w:num>
  <w:num w:numId="39" w16cid:durableId="224146188">
    <w:abstractNumId w:val="20"/>
  </w:num>
  <w:num w:numId="40" w16cid:durableId="504327539">
    <w:abstractNumId w:val="17"/>
  </w:num>
  <w:num w:numId="41" w16cid:durableId="629432138">
    <w:abstractNumId w:val="29"/>
  </w:num>
  <w:num w:numId="42" w16cid:durableId="1312754224">
    <w:abstractNumId w:val="53"/>
  </w:num>
  <w:num w:numId="43" w16cid:durableId="1116098019">
    <w:abstractNumId w:val="50"/>
  </w:num>
  <w:num w:numId="44" w16cid:durableId="1368721566">
    <w:abstractNumId w:val="30"/>
  </w:num>
  <w:num w:numId="45" w16cid:durableId="545457674">
    <w:abstractNumId w:val="4"/>
  </w:num>
  <w:num w:numId="46" w16cid:durableId="1328829993">
    <w:abstractNumId w:val="10"/>
  </w:num>
  <w:num w:numId="47" w16cid:durableId="1720784131">
    <w:abstractNumId w:val="42"/>
  </w:num>
  <w:num w:numId="48" w16cid:durableId="578759617">
    <w:abstractNumId w:val="47"/>
  </w:num>
  <w:num w:numId="49" w16cid:durableId="655648699">
    <w:abstractNumId w:val="41"/>
  </w:num>
  <w:num w:numId="50" w16cid:durableId="1343505269">
    <w:abstractNumId w:val="36"/>
  </w:num>
  <w:num w:numId="51" w16cid:durableId="769931533">
    <w:abstractNumId w:val="35"/>
  </w:num>
  <w:num w:numId="52" w16cid:durableId="204565619">
    <w:abstractNumId w:val="23"/>
  </w:num>
  <w:num w:numId="53" w16cid:durableId="2114012433">
    <w:abstractNumId w:val="44"/>
  </w:num>
  <w:num w:numId="54" w16cid:durableId="2052998400">
    <w:abstractNumId w:val="43"/>
  </w:num>
  <w:num w:numId="55" w16cid:durableId="1132483539">
    <w:abstractNumId w:val="13"/>
  </w:num>
  <w:num w:numId="56" w16cid:durableId="177476647">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A"/>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034"/>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0F9"/>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868"/>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B6F"/>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45A"/>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314"/>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2A"/>
    <w:rsid w:val="004774C5"/>
    <w:rsid w:val="004775ED"/>
    <w:rsid w:val="004777C7"/>
    <w:rsid w:val="004800FE"/>
    <w:rsid w:val="004803A9"/>
    <w:rsid w:val="00480459"/>
    <w:rsid w:val="004807D5"/>
    <w:rsid w:val="00480B03"/>
    <w:rsid w:val="00480B9E"/>
    <w:rsid w:val="00480C91"/>
    <w:rsid w:val="00480D77"/>
    <w:rsid w:val="00480E5E"/>
    <w:rsid w:val="004810EC"/>
    <w:rsid w:val="00481155"/>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DC8"/>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679"/>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AA2"/>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5BD"/>
    <w:rsid w:val="006529A8"/>
    <w:rsid w:val="00652BB4"/>
    <w:rsid w:val="00653273"/>
    <w:rsid w:val="006535CA"/>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1F"/>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9F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EC9"/>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A9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2C6"/>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061"/>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CDE"/>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E9"/>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97"/>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1D8E"/>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BF8"/>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3EA"/>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5D6F"/>
    <w:rsid w:val="00D3609F"/>
    <w:rsid w:val="00D3610A"/>
    <w:rsid w:val="00D3646C"/>
    <w:rsid w:val="00D3668C"/>
    <w:rsid w:val="00D366E7"/>
    <w:rsid w:val="00D366ED"/>
    <w:rsid w:val="00D369EA"/>
    <w:rsid w:val="00D36C8E"/>
    <w:rsid w:val="00D36CCA"/>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03C"/>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859"/>
    <w:rsid w:val="00D81AF1"/>
    <w:rsid w:val="00D81E9C"/>
    <w:rsid w:val="00D820F3"/>
    <w:rsid w:val="00D829AC"/>
    <w:rsid w:val="00D832FB"/>
    <w:rsid w:val="00D833D5"/>
    <w:rsid w:val="00D83401"/>
    <w:rsid w:val="00D838CD"/>
    <w:rsid w:val="00D83B14"/>
    <w:rsid w:val="00D83C5F"/>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CA0"/>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548"/>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6D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41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2D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3A"/>
    <w:rPr>
      <w:rFonts w:ascii="Times New Roman" w:eastAsia="Times New Roman" w:hAnsi="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eastAsia="zh-CN"/>
    </w:rPr>
  </w:style>
  <w:style w:type="character" w:customStyle="1" w:styleId="B3Char">
    <w:name w:val="B3 Char"/>
    <w:link w:val="B3"/>
    <w:rsid w:val="00974C1A"/>
    <w:rPr>
      <w:rFonts w:ascii="Times New Roman" w:eastAsia="Times New Roman" w:hAnsi="Times New Roman"/>
      <w:sz w:val="24"/>
      <w:szCs w:val="24"/>
      <w:lang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eastAsia="zh-CN"/>
    </w:rPr>
  </w:style>
  <w:style w:type="paragraph" w:customStyle="1" w:styleId="onecomwebmail-msonormal">
    <w:name w:val="onecomwebmail-msonormal"/>
    <w:basedOn w:val="Normal"/>
    <w:rsid w:val="00F94D18"/>
    <w:pPr>
      <w:spacing w:before="100" w:beforeAutospacing="1" w:after="100" w:afterAutospacing="1"/>
    </w:pPr>
    <w:rPr>
      <w:lang w:eastAsia="en-US"/>
    </w:rPr>
  </w:style>
  <w:style w:type="character" w:customStyle="1" w:styleId="textChar">
    <w:name w:val="text Char"/>
    <w:link w:val="text"/>
    <w:rsid w:val="00F94D18"/>
    <w:rPr>
      <w:rFonts w:ascii="Times New Roman" w:hAnsi="Times New Roman"/>
      <w:sz w:val="24"/>
      <w:szCs w:val="24"/>
      <w:lang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eastAsia="zh-CN"/>
    </w:rPr>
  </w:style>
  <w:style w:type="character" w:customStyle="1" w:styleId="NOChar">
    <w:name w:val="NO Char"/>
    <w:link w:val="NO"/>
    <w:rsid w:val="00F94D18"/>
    <w:rPr>
      <w:rFonts w:ascii="Times New Roman" w:eastAsia="Times New Roman" w:hAnsi="Times New Roman"/>
      <w:sz w:val="24"/>
      <w:szCs w:val="24"/>
      <w:lang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rPr>
  </w:style>
  <w:style w:type="paragraph" w:customStyle="1" w:styleId="a1">
    <w:name w:val="表格文字居左"/>
    <w:basedOn w:val="Normal"/>
    <w:next w:val="Normal"/>
    <w:rsid w:val="00F94D18"/>
    <w:pPr>
      <w:widowControl w:val="0"/>
      <w:jc w:val="both"/>
    </w:pPr>
    <w:rPr>
      <w:rFonts w:ascii="Arial" w:hAnsi="Arial" w:cs="SimSun"/>
      <w:kern w:val="2"/>
      <w:sz w:val="21"/>
      <w:szCs w:val="20"/>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eastAsia="zh-CN"/>
    </w:rPr>
  </w:style>
  <w:style w:type="character" w:customStyle="1" w:styleId="ListChar">
    <w:name w:val="List Char"/>
    <w:link w:val="List"/>
    <w:rsid w:val="00F94D18"/>
    <w:rPr>
      <w:rFonts w:ascii="Times New Roman" w:eastAsia="Times New Roman" w:hAnsi="Times New Roman"/>
      <w:sz w:val="24"/>
      <w:szCs w:val="24"/>
      <w:lang w:eastAsia="zh-CN"/>
    </w:rPr>
  </w:style>
  <w:style w:type="character" w:customStyle="1" w:styleId="List2Char">
    <w:name w:val="List 2 Char"/>
    <w:basedOn w:val="ListChar"/>
    <w:link w:val="List2"/>
    <w:rsid w:val="00F94D18"/>
    <w:rPr>
      <w:rFonts w:ascii="Times New Roman" w:eastAsia="Times New Roman" w:hAnsi="Times New Roman"/>
      <w:sz w:val="24"/>
      <w:szCs w:val="24"/>
      <w:lang w:eastAsia="zh-CN"/>
    </w:rPr>
  </w:style>
  <w:style w:type="character" w:customStyle="1" w:styleId="List3Char">
    <w:name w:val="List 3 Char"/>
    <w:basedOn w:val="List2Char"/>
    <w:link w:val="List3"/>
    <w:rsid w:val="00F94D18"/>
    <w:rPr>
      <w:rFonts w:ascii="Times New Roman" w:eastAsia="Times New Roman" w:hAnsi="Times New Roman"/>
      <w:sz w:val="24"/>
      <w:szCs w:val="24"/>
      <w:lang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eastAsia="en-US"/>
    </w:rPr>
  </w:style>
  <w:style w:type="paragraph" w:customStyle="1" w:styleId="tac0">
    <w:name w:val="tac"/>
    <w:basedOn w:val="Normal"/>
    <w:rsid w:val="00F94D18"/>
    <w:pPr>
      <w:keepNext/>
      <w:jc w:val="center"/>
    </w:pPr>
    <w:rPr>
      <w:rFonts w:ascii="Arial" w:eastAsia="Calibri" w:hAnsi="Arial" w:cs="Arial"/>
      <w:sz w:val="18"/>
      <w:szCs w:val="18"/>
      <w:lang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F94D18"/>
    <w:pPr>
      <w:ind w:left="720"/>
      <w:contextualSpacing/>
    </w:p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F94D18"/>
    <w:pPr>
      <w:ind w:left="720"/>
      <w:contextualSpacing/>
    </w:pPr>
  </w:style>
  <w:style w:type="paragraph" w:customStyle="1" w:styleId="ListParagraph2">
    <w:name w:val="List Paragraph2"/>
    <w:basedOn w:val="Normal"/>
    <w:qFormat/>
    <w:rsid w:val="00F94D18"/>
    <w:pPr>
      <w:ind w:left="720"/>
      <w:contextualSpacing/>
    </w:pPr>
  </w:style>
  <w:style w:type="paragraph" w:customStyle="1" w:styleId="ListParagraph5">
    <w:name w:val="List Paragraph5"/>
    <w:basedOn w:val="Normal"/>
    <w:qFormat/>
    <w:rsid w:val="00F94D18"/>
    <w:pPr>
      <w:ind w:left="720"/>
      <w:contextualSpacing/>
    </w:pPr>
  </w:style>
  <w:style w:type="paragraph" w:customStyle="1" w:styleId="ListParagraph4">
    <w:name w:val="List Paragraph4"/>
    <w:basedOn w:val="Normal"/>
    <w:qFormat/>
    <w:rsid w:val="00F94D18"/>
    <w:pPr>
      <w:ind w:left="720"/>
      <w:contextualSpacing/>
    </w:p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eastAsia="ja-JP"/>
    </w:rPr>
  </w:style>
  <w:style w:type="paragraph" w:customStyle="1" w:styleId="72">
    <w:name w:val="标题 72"/>
    <w:basedOn w:val="Normal"/>
    <w:rsid w:val="00F94D18"/>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F94D18"/>
    <w:pPr>
      <w:ind w:left="720"/>
      <w:contextualSpacing/>
    </w:pPr>
  </w:style>
  <w:style w:type="paragraph" w:customStyle="1" w:styleId="ListParagraph6">
    <w:name w:val="List Paragraph6"/>
    <w:basedOn w:val="Normal"/>
    <w:qFormat/>
    <w:rsid w:val="00F94D18"/>
    <w:pPr>
      <w:ind w:left="720"/>
      <w:contextualSpacing/>
    </w:pPr>
  </w:style>
  <w:style w:type="paragraph" w:customStyle="1" w:styleId="61">
    <w:name w:val="标题 61"/>
    <w:basedOn w:val="Normal"/>
    <w:rsid w:val="00F94D1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F94D18"/>
    <w:pPr>
      <w:ind w:left="720"/>
      <w:contextualSpacing/>
    </w:p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F94D18"/>
    <w:rPr>
      <w:rFonts w:ascii="Arial" w:eastAsia="Times New Roman" w:hAnsi="Arial" w:cs="Arial"/>
      <w:vanish/>
      <w:sz w:val="16"/>
      <w:szCs w:val="16"/>
      <w:lang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F94D18"/>
    <w:rPr>
      <w:rFonts w:ascii="Arial" w:eastAsia="Times New Roman" w:hAnsi="Arial" w:cs="Arial"/>
      <w:vanish/>
      <w:sz w:val="16"/>
      <w:szCs w:val="16"/>
      <w:lang w:eastAsia="zh-CN"/>
    </w:rPr>
  </w:style>
  <w:style w:type="paragraph" w:styleId="Date">
    <w:name w:val="Date"/>
    <w:basedOn w:val="Normal"/>
    <w:next w:val="Normal"/>
    <w:link w:val="DateChar"/>
    <w:uiPriority w:val="99"/>
    <w:rsid w:val="00F94D18"/>
    <w:pPr>
      <w:spacing w:after="180"/>
    </w:pPr>
    <w:rPr>
      <w:sz w:val="20"/>
      <w:szCs w:val="20"/>
    </w:rPr>
  </w:style>
  <w:style w:type="character" w:customStyle="1" w:styleId="DateChar1">
    <w:name w:val="Date Char1"/>
    <w:basedOn w:val="DefaultParagraphFont"/>
    <w:rsid w:val="00F94D18"/>
    <w:rPr>
      <w:rFonts w:ascii="Times New Roman" w:eastAsia="Times New Roman" w:hAnsi="Times New Roman"/>
      <w:sz w:val="24"/>
      <w:szCs w:val="24"/>
      <w:lang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2272709">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0570321">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32711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39396530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196</TotalTime>
  <Pages>3</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5937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Chunxuan Ye</cp:lastModifiedBy>
  <cp:revision>14</cp:revision>
  <cp:lastPrinted>2019-08-16T17:50:00Z</cp:lastPrinted>
  <dcterms:created xsi:type="dcterms:W3CDTF">2023-05-11T07:20:00Z</dcterms:created>
  <dcterms:modified xsi:type="dcterms:W3CDTF">2023-05-12T22:19:00Z</dcterms:modified>
  <cp:category/>
</cp:coreProperties>
</file>